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Domine" w:cs="Domine" w:eastAsia="Domine" w:hAnsi="Domine"/>
          <w:u w:val="single"/>
          <w:vertAlign w:val="baseline"/>
          <w:rtl w:val="0"/>
        </w:rPr>
        <w:t xml:space="preserve">The Pearl</w:t>
      </w:r>
      <w:r w:rsidDel="00000000" w:rsidR="00000000" w:rsidRPr="00000000">
        <w:rPr>
          <w:rFonts w:ascii="Domine" w:cs="Domine" w:eastAsia="Domine" w:hAnsi="Domine"/>
          <w:vertAlign w:val="baseline"/>
          <w:rtl w:val="0"/>
        </w:rPr>
        <w:t xml:space="preserve">      Chapter Four – pages 41-57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5"/>
        <w:gridCol w:w="6925"/>
        <w:tblGridChange w:id="0">
          <w:tblGrid>
            <w:gridCol w:w="2425"/>
            <w:gridCol w:w="692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Quote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Personal Response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“All of the neighbors hoped that sudden wealth would not turn Kino’s head, would not make a rich man of him, would not graft on to him the evil limbs of greed and hatred and coldness. For Kino was a well-liked man; it would be a shame if the pearl destroyed him” (43).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Why would they act this way?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Context: (What was happening when this detail/statement was made)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What inference can you make about the townspeople? (adjectives that describe the character-your opinion)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Explain how/why the evidence leads to or supports inference.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Domine" w:cs="Domine" w:eastAsia="Domine" w:hAnsi="Domine"/>
          <w:vertAlign w:val="baseline"/>
          <w:rtl w:val="0"/>
        </w:rPr>
        <w:t xml:space="preserve">Foreshadowing –What does this quote make you think will probably happen?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Domine" w:cs="Domine" w:eastAsia="Domine" w:hAnsi="Domine"/>
          <w:vertAlign w:val="baseline"/>
          <w:rtl w:val="0"/>
        </w:rPr>
        <w:t xml:space="preserve">How does the description of the stout pearl buyer’s trick with the coin suggest about his motives and his personality (what kind of person does this show he is?)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omin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